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10B1D0F2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10548845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14D8AAB8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565F2F19" wp14:editId="1C9EB2F8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1A185A" w14:textId="77777777" w:rsidR="00A97435" w:rsidRPr="00344DFC" w:rsidRDefault="00A97435" w:rsidP="00A97435">
                  <w:pPr>
                    <w:pStyle w:val="Ttulo"/>
                  </w:pPr>
                  <w:r w:rsidRPr="00344DFC">
                    <w:t xml:space="preserve">Na Mídia </w:t>
                  </w:r>
                </w:p>
                <w:p w14:paraId="1F2527CA" w14:textId="220C8042" w:rsidR="00A97435" w:rsidRPr="00344DFC" w:rsidRDefault="00272A8A" w:rsidP="00A97435">
                  <w:pPr>
                    <w:pStyle w:val="Cabealho"/>
                  </w:pPr>
                  <w:r>
                    <w:t>14</w:t>
                  </w:r>
                  <w:r w:rsidR="00A97435" w:rsidRPr="00344DFC">
                    <w:t>/0</w:t>
                  </w:r>
                  <w:r>
                    <w:t>7</w:t>
                  </w:r>
                  <w:r w:rsidR="00060982">
                    <w:t>/</w:t>
                  </w:r>
                  <w:r w:rsidR="00C8162B">
                    <w:t>2022</w:t>
                  </w:r>
                  <w:r w:rsidR="00A97435" w:rsidRPr="00344DFC">
                    <w:t xml:space="preserve"> |</w:t>
                  </w:r>
                  <w:r w:rsidR="00A97435" w:rsidRPr="001E65AC">
                    <w:t xml:space="preserve"> </w:t>
                  </w:r>
                  <w:hyperlink r:id="rId9" w:history="1">
                    <w:proofErr w:type="spellStart"/>
                    <w:r w:rsidR="00C8162B" w:rsidRPr="00272A8A">
                      <w:rPr>
                        <w:rStyle w:val="Hyperlink"/>
                      </w:rPr>
                      <w:t>LexLatin</w:t>
                    </w:r>
                    <w:proofErr w:type="spellEnd"/>
                  </w:hyperlink>
                </w:p>
                <w:p w14:paraId="6F7423DB" w14:textId="77777777" w:rsidR="00A97435" w:rsidRPr="00344DFC" w:rsidRDefault="00A97435" w:rsidP="00A97435">
                  <w:pPr>
                    <w:pStyle w:val="Cabealho"/>
                  </w:pPr>
                </w:p>
                <w:p w14:paraId="05B296B1" w14:textId="77777777" w:rsidR="00272A8A" w:rsidRDefault="00272A8A" w:rsidP="005D1D4B">
                  <w:pPr>
                    <w:jc w:val="left"/>
                    <w:rPr>
                      <w:b/>
                      <w:bCs/>
                      <w:sz w:val="36"/>
                    </w:rPr>
                  </w:pPr>
                  <w:bookmarkStart w:id="0" w:name="_GoBack"/>
                  <w:r w:rsidRPr="00272A8A">
                    <w:rPr>
                      <w:b/>
                      <w:bCs/>
                      <w:sz w:val="36"/>
                    </w:rPr>
                    <w:t xml:space="preserve">Os negócios jurídicos no setor de energia </w:t>
                  </w:r>
                  <w:proofErr w:type="gramStart"/>
                  <w:r w:rsidRPr="00272A8A">
                    <w:rPr>
                      <w:b/>
                      <w:bCs/>
                      <w:sz w:val="36"/>
                    </w:rPr>
                    <w:t>contra ataques</w:t>
                  </w:r>
                  <w:proofErr w:type="gramEnd"/>
                  <w:r w:rsidRPr="00272A8A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272A8A">
                    <w:rPr>
                      <w:b/>
                      <w:bCs/>
                      <w:sz w:val="36"/>
                    </w:rPr>
                    <w:t>cibernéticos</w:t>
                  </w:r>
                </w:p>
                <w:bookmarkEnd w:id="0"/>
                <w:p w14:paraId="08EF2CB3" w14:textId="77777777" w:rsidR="00272A8A" w:rsidRPr="00272A8A" w:rsidRDefault="00272A8A" w:rsidP="00990EAF">
                  <w:pPr>
                    <w:rPr>
                      <w:color w:val="CD8C5E"/>
                      <w:sz w:val="28"/>
                      <w:szCs w:val="28"/>
                    </w:rPr>
                  </w:pPr>
                  <w:proofErr w:type="spellEnd"/>
                  <w:r w:rsidRPr="00272A8A">
                    <w:rPr>
                      <w:color w:val="CD8C5E"/>
                      <w:sz w:val="28"/>
                      <w:szCs w:val="28"/>
                    </w:rPr>
                    <w:t xml:space="preserve">Área é especialmente vulnerável a esse tipo de vulnerabilidade em razão da complexidade de </w:t>
                  </w:r>
                  <w:proofErr w:type="spellStart"/>
                  <w:r w:rsidRPr="00272A8A">
                    <w:rPr>
                      <w:color w:val="CD8C5E"/>
                      <w:sz w:val="28"/>
                      <w:szCs w:val="28"/>
                    </w:rPr>
                    <w:t>operações.</w:t>
                  </w:r>
                </w:p>
                <w:p w14:paraId="0BEE2350" w14:textId="385F5D2C" w:rsidR="00272A8A" w:rsidRDefault="00272A8A" w:rsidP="00272A8A">
                  <w:pPr>
                    <w:rPr>
                      <w:sz w:val="20"/>
                      <w:szCs w:val="20"/>
                    </w:rPr>
                  </w:pPr>
                  <w:proofErr w:type="spellEnd"/>
                  <w:r w:rsidRPr="00272A8A">
                    <w:rPr>
                      <w:sz w:val="20"/>
                      <w:szCs w:val="20"/>
                    </w:rPr>
                    <w:t>Luciano Teixeira</w:t>
                  </w:r>
                </w:p>
                <w:p w14:paraId="3D86397A" w14:textId="14B92549" w:rsidR="00272A8A" w:rsidRDefault="00272A8A" w:rsidP="00272A8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D81B5E" wp14:editId="069EA152">
                        <wp:extent cx="6840220" cy="4867910"/>
                        <wp:effectExtent l="0" t="0" r="0" b="889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4867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EC8B77" w14:textId="77777777" w:rsidR="00272A8A" w:rsidRPr="00272A8A" w:rsidRDefault="00272A8A" w:rsidP="00272A8A">
                  <w:r w:rsidRPr="00272A8A">
                    <w:lastRenderedPageBreak/>
                    <w:t xml:space="preserve">A regulação vem mudando no combate aos crimes cibernéticos no Brasil. Mas o ritmo das melhorias ainda corre abaixo da necessidade de prevenção e solução de ataques e golpes virtuais, especialmente para empresas do setor de infraestrutura energética. Crimes digitais como </w:t>
                  </w:r>
                  <w:proofErr w:type="spellStart"/>
                  <w:r w:rsidRPr="00272A8A">
                    <w:t>ransomware</w:t>
                  </w:r>
                  <w:proofErr w:type="spellEnd"/>
                  <w:r w:rsidRPr="00272A8A">
                    <w:t xml:space="preserve"> (que visa roubar dados ou bloquear máquinas em troca de resgate geralmente em bitcoin) já atingiram ao menos cinco gigantes do setor de energia nos últimos dois anos: Enel e Energisa em abril 2020, EDP e Light em junho de 2020, e Copel e Eletronuclear em fevereiro de 2021.</w:t>
                  </w:r>
                </w:p>
                <w:p w14:paraId="29AF2D66" w14:textId="77777777" w:rsidR="00272A8A" w:rsidRPr="00272A8A" w:rsidRDefault="00272A8A" w:rsidP="00272A8A">
                  <w:r w:rsidRPr="00272A8A">
                    <w:t>As ações criminosas não chegaram a afetar a distribuição ou o fornecimento de energia, mas vazaram dados e afetaram os sistemas administrativos das empresas, segundo dados da Agência Nacional de Energia Elétrica (Aneel).</w:t>
                  </w:r>
                </w:p>
                <w:p w14:paraId="42CD9662" w14:textId="77777777" w:rsidR="00272A8A" w:rsidRPr="00272A8A" w:rsidRDefault="00272A8A" w:rsidP="00272A8A">
                  <w:r w:rsidRPr="00272A8A">
                    <w:t>De acordo com a União Internacional de Telecomunicações (ITU, na sigla em inglês), órgão da Organização das Nações Unidas (ONU) e que coordena esforços na área de segurança cibernética, o Brasil ocupava a 71ª colocação no índice de segurança cibernética em 2018, divulgado em 2019. O país foi o 2º no mundo que mais sofreu perdas econômicas de ataques cibernéticos. Segundo os dados da ITU, os prejuízos com ataques cibernéticos no Brasil ultrapassaram US$ 20 bilhões, atingido ao menos 70 milhões de brasileiros.</w:t>
                  </w:r>
                </w:p>
                <w:p w14:paraId="640F03EB" w14:textId="77777777" w:rsidR="00272A8A" w:rsidRPr="00272A8A" w:rsidRDefault="00272A8A" w:rsidP="00272A8A">
                  <w:r w:rsidRPr="00272A8A">
                    <w:t>Com a melhora do ambiente legal e a entrada em vigor no país da LGPD, o Brasil passou para o 18º lugar no índice global de segurança cibernética em 2020, quando 193 países foram pesquisados, o que mostra como a criação de normas e regras contribui para aumentar a segurança.</w:t>
                  </w:r>
                </w:p>
                <w:p w14:paraId="2F1631CD" w14:textId="77777777" w:rsidR="00272A8A" w:rsidRPr="00272A8A" w:rsidRDefault="00272A8A" w:rsidP="00272A8A">
                  <w:r w:rsidRPr="00272A8A">
                    <w:t>Para um setor crítico de infraestrutura como o energético, a resolução 964 da Agência Nacional de Energia Elétrica (Aneel) prevê a adoção de normas, padrões e referências de boas práticas em segurança cibernética, além de identificação, proteção, diagnóstico, resposta e recuperação dos incidentes cibernéticos. A ideia é criar políticas de segurança compatíveis com o porte da empresa, a obrigatoriedade de as companhias comunicarem situações de crise em segurança cibernética, assim como o compartilhamento entre os agentes e o órgão regulador de ocorrências relevantes.</w:t>
                  </w:r>
                </w:p>
                <w:p w14:paraId="018160BD" w14:textId="77777777" w:rsidR="00272A8A" w:rsidRPr="00272A8A" w:rsidRDefault="00272A8A" w:rsidP="00272A8A">
                  <w:r w:rsidRPr="00272A8A">
                    <w:t>A norma também prevê procedimentos relacionados à gestão da segurança, como a segmentação de redes de operação da rede de TI e da Internet, ações de resposta rápida para contenção de incidentes, avaliação e tratamento de riscos.</w:t>
                  </w:r>
                </w:p>
                <w:p w14:paraId="5B68EF47" w14:textId="77777777" w:rsidR="00272A8A" w:rsidRPr="00272A8A" w:rsidRDefault="00272A8A" w:rsidP="00272A8A">
                  <w:r w:rsidRPr="00272A8A">
                    <w:t>Em sua Análise de Impacto Regulatório (AIR) sobre segurança cibernética no Setor Elétrico Brasileiro, a Aneel identificou três consequências principais relacionadas a um eventual incidente de segurança cibernética envolvendo agentes regulados do setor: eventual interrupção no suprimento de energia, a impossibilidade de realização de operações técnicas pelos agentes regulados e o possível extravio de dados.</w:t>
                  </w:r>
                </w:p>
                <w:p w14:paraId="63B04E9C" w14:textId="77777777" w:rsidR="00272A8A" w:rsidRPr="00272A8A" w:rsidRDefault="00272A8A" w:rsidP="00272A8A">
                  <w:r w:rsidRPr="00272A8A">
                    <w:t>O risco de continuidade da atividade essencial é um dos mais preocupantes e, na avaliação dos técnicos e advogados especializados ouvidos por </w:t>
                  </w:r>
                  <w:proofErr w:type="spellStart"/>
                  <w:r w:rsidRPr="00272A8A">
                    <w:t>LexLatin</w:t>
                  </w:r>
                  <w:proofErr w:type="spellEnd"/>
                  <w:r w:rsidRPr="00272A8A">
                    <w:t>, não se trata de mero risco hipotético.</w:t>
                  </w:r>
                </w:p>
                <w:p w14:paraId="7DC4977A" w14:textId="77777777" w:rsidR="00272A8A" w:rsidRPr="00272A8A" w:rsidRDefault="00272A8A" w:rsidP="00272A8A">
                  <w:r w:rsidRPr="00272A8A">
                    <w:t xml:space="preserve">“A Resolução estabelece tanto medidas preventivas quanto reativas, a serem adotadas pelos agentes regulados em conexão com segurança cibernética. As medidas preventivas visam estabelecer parâmetros organizacionais e técnicos para a prevenção de riscos, e as reativas visam minimizar o impacto de incidentes que possam impactar o setor, tornando-o menos vulnerável a crimes cibernéticos”, explica Paulo </w:t>
                  </w:r>
                  <w:proofErr w:type="spellStart"/>
                  <w:proofErr w:type="gramStart"/>
                  <w:r w:rsidRPr="00272A8A">
                    <w:t>Lilla</w:t>
                  </w:r>
                  <w:proofErr w:type="spellEnd"/>
                  <w:r w:rsidRPr="00272A8A">
                    <w:t>,  sócio</w:t>
                  </w:r>
                  <w:proofErr w:type="gramEnd"/>
                  <w:r w:rsidRPr="00272A8A">
                    <w:t xml:space="preserve"> da área de Tecnologia, Proteção de Dados e Propriedade Intelectual do </w:t>
                  </w:r>
                  <w:proofErr w:type="spellStart"/>
                  <w:r w:rsidRPr="00272A8A">
                    <w:t>Lefosse</w:t>
                  </w:r>
                  <w:proofErr w:type="spellEnd"/>
                  <w:r w:rsidRPr="00272A8A">
                    <w:t xml:space="preserve"> Advogados.</w:t>
                  </w:r>
                </w:p>
                <w:p w14:paraId="79F4173B" w14:textId="77777777" w:rsidR="00272A8A" w:rsidRPr="00272A8A" w:rsidRDefault="00272A8A" w:rsidP="00272A8A">
                  <w:r w:rsidRPr="00272A8A">
                    <w:t>De acordo com a resolução da Aneel, as empresas são responsáveis pela segurança das instalações e a continuidade da prestação do serviço e pelo ônus da adaptação de seus sistemas. Os gastos necessários para implantação dessas medidas poderão ser avaliados pela agência, para um eventual reconhecimento de custos nas tarifas.</w:t>
                  </w:r>
                </w:p>
                <w:p w14:paraId="242C32A3" w14:textId="77777777" w:rsidR="00272A8A" w:rsidRPr="00272A8A" w:rsidRDefault="00272A8A" w:rsidP="00272A8A">
                  <w:r w:rsidRPr="00272A8A">
                    <w:t xml:space="preserve">"Com essas diretrizes criamos um ambiente de competição saudável no setor com uma maior segurança jurídica, transparência, com conceitos definidos e que prima pela gestão dos riscos e falhas de modo mais racional e coerente, </w:t>
                  </w:r>
                  <w:r w:rsidRPr="00272A8A">
                    <w:lastRenderedPageBreak/>
                    <w:t>preservando-se a confidencialidade e integridade das informações e prevendo regras de acessibilidade, bem como de continuidade dos negócios firmados”, avalia Bruno Guerra de Azevedo, sócio do SGMP Advogados.</w:t>
                  </w:r>
                </w:p>
                <w:p w14:paraId="4E9F68F6" w14:textId="77777777" w:rsidR="00272A8A" w:rsidRPr="00272A8A" w:rsidRDefault="00272A8A" w:rsidP="00272A8A">
                  <w:r w:rsidRPr="00272A8A">
                    <w:t xml:space="preserve">A legislação, segundo os especialistas, permite uma atualização do ordenamento vigente, criando-se instrumentos específicos de combate aos </w:t>
                  </w:r>
                  <w:proofErr w:type="spellStart"/>
                  <w:r w:rsidRPr="00272A8A">
                    <w:t>cibercriminosos</w:t>
                  </w:r>
                  <w:proofErr w:type="spellEnd"/>
                  <w:r w:rsidRPr="00272A8A">
                    <w:t xml:space="preserve"> que possibilitam uma resposta mais eficiente aos delitos cometidos no âmbito digital.</w:t>
                  </w:r>
                </w:p>
                <w:p w14:paraId="548A85B9" w14:textId="77777777" w:rsidR="00272A8A" w:rsidRPr="00272A8A" w:rsidRDefault="00272A8A" w:rsidP="00272A8A">
                  <w:pPr>
                    <w:rPr>
                      <w:b/>
                      <w:bCs/>
                    </w:rPr>
                  </w:pPr>
                  <w:r w:rsidRPr="00272A8A">
                    <w:rPr>
                      <w:b/>
                      <w:bCs/>
                    </w:rPr>
                    <w:t>“Esse movimento de criar regras específicas para garantir a segurança cibernética começou por setores mais regulados, como o bancário e o de seguros, e agora chegou ao de energia. A tendência é que todos os setores se organizem, se regulem e criem boas práticas em relação à segurança, à exposição de dados, como incentivam a própria ANPD (Autoridade Nacional de Proteção de Dados) e a legislação”, diz Tatiana Campello, sócia da área de Energia do Demarest Advogados.</w:t>
                  </w:r>
                </w:p>
                <w:p w14:paraId="6138FAAC" w14:textId="77777777" w:rsidR="00272A8A" w:rsidRPr="00272A8A" w:rsidRDefault="00272A8A" w:rsidP="00272A8A">
                  <w:r w:rsidRPr="00272A8A">
                    <w:t>Com a pandemia e o volume muito maior de informações transitando no ambiente online, a exposição de dados aumenta. Não só de dados pessoais, mas também de informações confidenciais das empresas que podem ser violadas e estão relacionadas à legislação de propriedade intelectual, explica Tatiana.</w:t>
                  </w:r>
                </w:p>
                <w:p w14:paraId="61F58AF9" w14:textId="77777777" w:rsidR="00272A8A" w:rsidRPr="00272A8A" w:rsidRDefault="00272A8A" w:rsidP="00272A8A">
                  <w:r w:rsidRPr="00272A8A">
                    <w:t>Quem não se adequar aos procedimentos exigidos para garantir ou fortalecer a proteção das informações processadas e transmitidas no setor elétrico pode ser autuado e receber as penalidades como preveem não apenas a legislação do setor elétrico, mas ainda toda a legislação que envolve o assunto segurança cibernética – desde as normas de Lei Geral de Proteção de Dados Pessoais (LGPD, Lei nº 13.709/2018), Marco Civil da Internet e do Código de Defesa do Consumidor. </w:t>
                  </w:r>
                </w:p>
                <w:p w14:paraId="23E16147" w14:textId="77777777" w:rsidR="00272A8A" w:rsidRPr="00272A8A" w:rsidRDefault="00272A8A" w:rsidP="00272A8A">
                  <w:r w:rsidRPr="00272A8A">
                    <w:t>Empresas e associações do setor de energia tiveram prazo até o início do mês para se adaptar às normas de segurança cibernética previstas na resolução 964, editada pela Aneel em dezembro de 2021.</w:t>
                  </w:r>
                </w:p>
                <w:p w14:paraId="185DAD13" w14:textId="77777777" w:rsidR="00272A8A" w:rsidRPr="00272A8A" w:rsidRDefault="00272A8A" w:rsidP="00272A8A">
                  <w:r w:rsidRPr="00272A8A">
                    <w:t>A adequação é necessária para as concessionárias de energia, os permissionários e os agentes autorizados de serviços ou instalações de energia elétrica; além de entidades responsáveis pela operação do sistema, pela comercialização de energia elétrica ou até pela gestão de recursos provenientes de encargos do setor.</w:t>
                  </w:r>
                </w:p>
                <w:p w14:paraId="5CC561EE" w14:textId="77777777" w:rsidR="00272A8A" w:rsidRPr="00272A8A" w:rsidRDefault="00272A8A" w:rsidP="00272A8A">
                  <w:r w:rsidRPr="00272A8A">
                    <w:t xml:space="preserve">Para os advogados do setor alguns pontos merecem destaque. A Resolução prevê condutas focadas na prevenção, ao estipular, por exemplo, diretrizes para a atuação em segurança cibernética, conforme seu artigo 3º, bem como ao definir o escopo mínimo para as políticas de segurança de cada instituição ou agente, segundo estabelece seu artigo 4º”, afirma Vinícius </w:t>
                  </w:r>
                  <w:proofErr w:type="spellStart"/>
                  <w:r w:rsidRPr="00272A8A">
                    <w:t>Fochi</w:t>
                  </w:r>
                  <w:proofErr w:type="spellEnd"/>
                  <w:r w:rsidRPr="00272A8A">
                    <w:t>, criminalista do Damiani Sociedade de Advogados.</w:t>
                  </w:r>
                </w:p>
                <w:p w14:paraId="1B4AD1DD" w14:textId="77777777" w:rsidR="00272A8A" w:rsidRPr="00272A8A" w:rsidRDefault="00272A8A" w:rsidP="00272A8A">
                  <w:r w:rsidRPr="00272A8A">
                    <w:t>Para ele, a norma é uma cartilha de como o setor deve se portar diante dos riscos relacionados a ataques cibernéticos.</w:t>
                  </w:r>
                </w:p>
                <w:p w14:paraId="2061BC11" w14:textId="77777777" w:rsidR="00272A8A" w:rsidRPr="00272A8A" w:rsidRDefault="00272A8A" w:rsidP="00272A8A">
                  <w:r w:rsidRPr="00272A8A">
                    <w:t>A Resolução da Aneel também prevê diretrizes a serem tomadas nos casos de ataque cibernético de maior impacto, incluindo a análise da causa e das consequências e as ações de mitigação adotadas.</w:t>
                  </w:r>
                </w:p>
                <w:p w14:paraId="6078952A" w14:textId="77777777" w:rsidR="00272A8A" w:rsidRPr="00272A8A" w:rsidRDefault="00272A8A" w:rsidP="00272A8A">
                  <w:r w:rsidRPr="00272A8A">
                    <w:t xml:space="preserve">“Dentre as condutas, há a necessidade de os agentes notificarem a equipe de coordenação setorial designada sobre eventuais ataques e ameaças capazes de colocar em risco a segurança das instalações, das operações e dos serviços aos usuários, de acordo com o artigo 6º da Resolução. A legislação também prevê que o ônus pela segurança das instalações e a continuidade na prestação do serviço é de inteira responsabilidade dos agentes do setor, segundo o artigo 8º”, explica Mayra </w:t>
                  </w:r>
                  <w:proofErr w:type="spellStart"/>
                  <w:r w:rsidRPr="00272A8A">
                    <w:t>Mallofre</w:t>
                  </w:r>
                  <w:proofErr w:type="spellEnd"/>
                  <w:r w:rsidRPr="00272A8A">
                    <w:t xml:space="preserve"> Ribeiro </w:t>
                  </w:r>
                  <w:proofErr w:type="spellStart"/>
                  <w:r w:rsidRPr="00272A8A">
                    <w:t>Carrillo</w:t>
                  </w:r>
                  <w:proofErr w:type="spellEnd"/>
                  <w:r w:rsidRPr="00272A8A">
                    <w:t>, criminalista, sócia de Damiani Sociedade de Advogados.</w:t>
                  </w:r>
                </w:p>
                <w:p w14:paraId="0CFF66EB" w14:textId="5C65B695" w:rsidR="00272A8A" w:rsidRPr="00272A8A" w:rsidRDefault="00272A8A" w:rsidP="00272A8A">
                  <w:r w:rsidRPr="00272A8A">
                    <w:t xml:space="preserve">O setor de energia é especialmente vulnerável a esse tipo de ataque em razão da complexidade de suas operações. Para os analistas, a singularidade de operações como a geração ou distribuição de energia elétrica, que demandam infraestruturas físicas e tecnológicas variadas, apresenta muitos desafios em termos de </w:t>
                  </w:r>
                  <w:proofErr w:type="spellStart"/>
                  <w:r w:rsidRPr="00272A8A">
                    <w:t>cibersegurança</w:t>
                  </w:r>
                  <w:proofErr w:type="spellEnd"/>
                  <w:r w:rsidRPr="00272A8A">
                    <w:t>.</w:t>
                  </w:r>
                </w:p>
                <w:p w14:paraId="451A62D2" w14:textId="7B751850" w:rsidR="00272A8A" w:rsidRPr="00272A8A" w:rsidRDefault="00272A8A" w:rsidP="00272A8A">
                  <w:r w:rsidRPr="00272A8A">
                    <w:lastRenderedPageBreak/>
                    <w:t xml:space="preserve">“Sem dúvida alguma as novas regras contra crimes cibernéticos trazem mais segurança jurídica. O modelo regulatório e comercial do Setor Elétrico é baseado na separação e coexistência de um mundo físico e um mundo contratual. Sob o enfoque contratual, todas as operações de compra e venda de energia elétrica, as medições de geração e consumo e a contabilização e liquidação financeira do Mercado de Energia são feitos também por meio de programas computacionais e/ou plataformas eletrônicas de comercialização. Dessa forma, a instituição de alto padrão e diretrizes de segurança para evitar danos ou invasão aos sistemas, paralisações de operações e/ou acesso indevidos a dados das operações é imprescindível para a segurança jurídica, credibilidade e higidez das operações comerciais realizadas no Setor de Energia Elétrica”, avalia Raphael Gomes, sócio da área de Energia do </w:t>
                  </w:r>
                  <w:proofErr w:type="spellStart"/>
                  <w:r w:rsidRPr="00272A8A">
                    <w:t>Lefosse</w:t>
                  </w:r>
                  <w:proofErr w:type="spellEnd"/>
                  <w:r w:rsidRPr="00272A8A">
                    <w:t>.</w:t>
                  </w:r>
                </w:p>
                <w:p w14:paraId="6B4B854C" w14:textId="77777777" w:rsidR="00272A8A" w:rsidRDefault="00272A8A" w:rsidP="00272A8A">
                  <w:pPr>
                    <w:rPr>
                      <w:sz w:val="20"/>
                      <w:szCs w:val="20"/>
                    </w:rPr>
                  </w:pPr>
                </w:p>
                <w:p w14:paraId="3478CE2F" w14:textId="4CDE6C50" w:rsidR="000E3A91" w:rsidRPr="00990EAF" w:rsidRDefault="00990EAF" w:rsidP="00272A8A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A87066F" w14:textId="77777777" w:rsidR="00D940AB" w:rsidRDefault="00D940AB" w:rsidP="000E3A91">
                  <w:pPr>
                    <w:jc w:val="center"/>
                  </w:pPr>
                </w:p>
                <w:p w14:paraId="7862A97F" w14:textId="77777777" w:rsidR="000E3A91" w:rsidRDefault="000E3A91" w:rsidP="000E3A91">
                  <w:pPr>
                    <w:jc w:val="center"/>
                  </w:pPr>
                </w:p>
                <w:p w14:paraId="69DAF777" w14:textId="0C5649A6" w:rsidR="00A55317" w:rsidRPr="00C8162B" w:rsidRDefault="00A55317" w:rsidP="00C8162B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15FC7218" w14:textId="77777777" w:rsidR="00A97435" w:rsidRPr="00344DFC" w:rsidRDefault="00A97435" w:rsidP="00A97435"/>
        </w:tc>
      </w:tr>
      <w:tr w:rsidR="00555331" w:rsidRPr="000846D9" w14:paraId="7C24C650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p w14:paraId="334BC080" w14:textId="77777777" w:rsidR="00555331" w:rsidRDefault="00555331" w:rsidP="00344DFC">
            <w:pPr>
              <w:pStyle w:val="Ttulo"/>
              <w:rPr>
                <w:noProof/>
              </w:rPr>
            </w:pPr>
          </w:p>
        </w:tc>
      </w:tr>
    </w:tbl>
    <w:p w14:paraId="10A99FAB" w14:textId="77777777" w:rsidR="005F498C" w:rsidRPr="000846D9" w:rsidRDefault="005F498C" w:rsidP="00344DFC"/>
    <w:sectPr w:rsidR="005F498C" w:rsidRPr="000846D9" w:rsidSect="002A6206">
      <w:footerReference w:type="default" r:id="rId11"/>
      <w:footerReference w:type="first" r:id="rId12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6FFB2" w14:textId="77777777" w:rsidR="00C8162B" w:rsidRDefault="00C8162B" w:rsidP="00344DFC">
      <w:r>
        <w:separator/>
      </w:r>
    </w:p>
  </w:endnote>
  <w:endnote w:type="continuationSeparator" w:id="0">
    <w:p w14:paraId="7BC39A89" w14:textId="77777777" w:rsidR="00C8162B" w:rsidRDefault="00C8162B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B3B6A" w14:textId="77777777" w:rsidR="004A60DD" w:rsidRDefault="00272A8A" w:rsidP="00344DFC">
    <w:pPr>
      <w:pStyle w:val="Rodap"/>
    </w:pPr>
  </w:p>
  <w:p w14:paraId="407334DD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1609A385" wp14:editId="0AD2E78E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B4C784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609A385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" filled="f" stroked="f" strokeweight=".5pt">
              <v:textbox style="mso-fit-shape-to-text:t" inset="0,0,0,0">
                <w:txbxContent>
                  <w:p w14:paraId="02B4C784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7D2DE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5809FBF1" wp14:editId="12131FB9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6F3982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809FBF1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" filled="f" stroked="f" strokeweight=".5pt">
              <v:textbox style="mso-fit-shape-to-text:t" inset="0,0,0,0">
                <w:txbxContent>
                  <w:p w14:paraId="556F3982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48241" w14:textId="77777777" w:rsidR="00C8162B" w:rsidRDefault="00C8162B" w:rsidP="00344DFC">
      <w:r>
        <w:separator/>
      </w:r>
    </w:p>
  </w:footnote>
  <w:footnote w:type="continuationSeparator" w:id="0">
    <w:p w14:paraId="55206A45" w14:textId="77777777" w:rsidR="00C8162B" w:rsidRDefault="00C8162B" w:rsidP="0034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93700"/>
    <w:multiLevelType w:val="multilevel"/>
    <w:tmpl w:val="674C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0391E"/>
    <w:multiLevelType w:val="multilevel"/>
    <w:tmpl w:val="F46E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C6DA7"/>
    <w:multiLevelType w:val="multilevel"/>
    <w:tmpl w:val="CAFE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B54DD"/>
    <w:multiLevelType w:val="multilevel"/>
    <w:tmpl w:val="D5F6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C59D9"/>
    <w:multiLevelType w:val="multilevel"/>
    <w:tmpl w:val="67A0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92DC4"/>
    <w:multiLevelType w:val="multilevel"/>
    <w:tmpl w:val="CCC2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45D08"/>
    <w:multiLevelType w:val="multilevel"/>
    <w:tmpl w:val="933C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266FF9"/>
    <w:multiLevelType w:val="multilevel"/>
    <w:tmpl w:val="DC22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E0872"/>
    <w:multiLevelType w:val="multilevel"/>
    <w:tmpl w:val="5054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336085"/>
    <w:multiLevelType w:val="multilevel"/>
    <w:tmpl w:val="4A18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293AC1"/>
    <w:multiLevelType w:val="multilevel"/>
    <w:tmpl w:val="9F08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B"/>
    <w:rsid w:val="000223D0"/>
    <w:rsid w:val="00022EC5"/>
    <w:rsid w:val="00060982"/>
    <w:rsid w:val="000846D9"/>
    <w:rsid w:val="000A6C9A"/>
    <w:rsid w:val="000B02F1"/>
    <w:rsid w:val="000C595B"/>
    <w:rsid w:val="000D73F5"/>
    <w:rsid w:val="000E04A7"/>
    <w:rsid w:val="000E3A91"/>
    <w:rsid w:val="0011645A"/>
    <w:rsid w:val="0012470D"/>
    <w:rsid w:val="0013720B"/>
    <w:rsid w:val="001D02A3"/>
    <w:rsid w:val="001E65AC"/>
    <w:rsid w:val="001F4AA0"/>
    <w:rsid w:val="002139A4"/>
    <w:rsid w:val="00235DB8"/>
    <w:rsid w:val="00254A0D"/>
    <w:rsid w:val="00272A8A"/>
    <w:rsid w:val="002A6206"/>
    <w:rsid w:val="0033251B"/>
    <w:rsid w:val="00344DFC"/>
    <w:rsid w:val="003A05C1"/>
    <w:rsid w:val="003F0F78"/>
    <w:rsid w:val="00422041"/>
    <w:rsid w:val="00433BB1"/>
    <w:rsid w:val="00455C6C"/>
    <w:rsid w:val="00555331"/>
    <w:rsid w:val="005745DB"/>
    <w:rsid w:val="00591280"/>
    <w:rsid w:val="005D1276"/>
    <w:rsid w:val="005D1D4B"/>
    <w:rsid w:val="005F498C"/>
    <w:rsid w:val="006872B8"/>
    <w:rsid w:val="00696802"/>
    <w:rsid w:val="00726136"/>
    <w:rsid w:val="007409CD"/>
    <w:rsid w:val="00765034"/>
    <w:rsid w:val="007B59EA"/>
    <w:rsid w:val="007B5E41"/>
    <w:rsid w:val="007C6FE4"/>
    <w:rsid w:val="007D54D4"/>
    <w:rsid w:val="00815F47"/>
    <w:rsid w:val="00816D0B"/>
    <w:rsid w:val="0084467D"/>
    <w:rsid w:val="00871F7A"/>
    <w:rsid w:val="00876F4E"/>
    <w:rsid w:val="008A76A4"/>
    <w:rsid w:val="008E7601"/>
    <w:rsid w:val="008E7A10"/>
    <w:rsid w:val="009249DD"/>
    <w:rsid w:val="009516C3"/>
    <w:rsid w:val="00990EAF"/>
    <w:rsid w:val="009A4EBC"/>
    <w:rsid w:val="00A05C8F"/>
    <w:rsid w:val="00A2288A"/>
    <w:rsid w:val="00A27C3B"/>
    <w:rsid w:val="00A55317"/>
    <w:rsid w:val="00A55D8D"/>
    <w:rsid w:val="00A83511"/>
    <w:rsid w:val="00A97435"/>
    <w:rsid w:val="00B02895"/>
    <w:rsid w:val="00B15077"/>
    <w:rsid w:val="00B36011"/>
    <w:rsid w:val="00BB7C42"/>
    <w:rsid w:val="00BC44A0"/>
    <w:rsid w:val="00C10C53"/>
    <w:rsid w:val="00C66FA3"/>
    <w:rsid w:val="00C74633"/>
    <w:rsid w:val="00C8162B"/>
    <w:rsid w:val="00CB523A"/>
    <w:rsid w:val="00CC6093"/>
    <w:rsid w:val="00D61EED"/>
    <w:rsid w:val="00D63714"/>
    <w:rsid w:val="00D940AB"/>
    <w:rsid w:val="00DA2A3B"/>
    <w:rsid w:val="00DE5306"/>
    <w:rsid w:val="00E51EAD"/>
    <w:rsid w:val="00E75A65"/>
    <w:rsid w:val="00EC6693"/>
    <w:rsid w:val="00F20484"/>
    <w:rsid w:val="00F25456"/>
    <w:rsid w:val="00F33E62"/>
    <w:rsid w:val="00F97170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06C3FC7"/>
  <w15:chartTrackingRefBased/>
  <w15:docId w15:val="{54AB1E2A-89CB-4E5F-93C8-C5CA67B7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81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412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688433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454452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19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399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2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80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1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1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3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29065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859627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10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1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1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91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29073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548058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72429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30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1104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24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191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717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59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75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832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283070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1212689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37967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44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722304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1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65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628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9294348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71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48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r.lexlatin.com/reportagens/os-negocios-juridicos-no-setor-de-energia-contra-ataques-cibernetico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78B27-8F28-4E73-937F-4701A1F7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1419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 de Oliveira Silva | Demarest Advogados</dc:creator>
  <cp:keywords/>
  <dc:description/>
  <cp:lastModifiedBy>Cristiane Santana Sa | Demarest Advogados</cp:lastModifiedBy>
  <cp:revision>2</cp:revision>
  <cp:lastPrinted>2022-06-28T11:24:00Z</cp:lastPrinted>
  <dcterms:created xsi:type="dcterms:W3CDTF">2022-07-20T14:52:00Z</dcterms:created>
  <dcterms:modified xsi:type="dcterms:W3CDTF">2022-07-20T14:52:00Z</dcterms:modified>
</cp:coreProperties>
</file>