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340" w:type="dxa"/>
        <w:jc w:val="center"/>
        <w:tblCellMar>
          <w:top w:w="397" w:type="dxa"/>
          <w:left w:w="0" w:type="dxa"/>
          <w:bottom w:w="397" w:type="dxa"/>
          <w:right w:w="0" w:type="dxa"/>
        </w:tblCellMar>
        <w:tblLook w:val="04A0" w:firstRow="1" w:lastRow="0" w:firstColumn="1" w:lastColumn="0" w:noHBand="0" w:noVBand="1"/>
      </w:tblPr>
      <w:tblGrid>
        <w:gridCol w:w="11466"/>
      </w:tblGrid>
      <w:tr w:rsidR="00C66FA3" w:rsidRPr="000846D9" w14:paraId="5F0313AD" w14:textId="77777777" w:rsidTr="00A97435">
        <w:trPr>
          <w:trHeight w:val="3913"/>
          <w:jc w:val="center"/>
        </w:trPr>
        <w:tc>
          <w:tcPr>
            <w:tcW w:w="11340" w:type="dxa"/>
            <w:shd w:val="clear" w:color="auto" w:fill="auto"/>
            <w:tcMar>
              <w:top w:w="113" w:type="dxa"/>
              <w:left w:w="0" w:type="dxa"/>
              <w:bottom w:w="0" w:type="dxa"/>
              <w:right w:w="0" w:type="dxa"/>
            </w:tcMar>
          </w:tcPr>
          <w:tbl>
            <w:tblPr>
              <w:tblStyle w:val="Tabelacomgrade"/>
              <w:tblW w:w="10772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466"/>
            </w:tblGrid>
            <w:tr w:rsidR="00A97435" w14:paraId="5C68E43F" w14:textId="77777777" w:rsidTr="00A97435">
              <w:trPr>
                <w:jc w:val="center"/>
              </w:trPr>
              <w:tc>
                <w:tcPr>
                  <w:tcW w:w="10772" w:type="dxa"/>
                </w:tcPr>
                <w:p w14:paraId="6DF77AAB" w14:textId="77777777" w:rsidR="00A97435" w:rsidRDefault="007409CD" w:rsidP="00344DFC">
                  <w:pPr>
                    <w:pStyle w:val="Ttulo"/>
                  </w:pPr>
                  <w:r>
                    <w:rPr>
                      <w:noProof/>
                    </w:rPr>
                    <w:drawing>
                      <wp:inline distT="0" distB="0" distL="0" distR="0" wp14:anchorId="47A44CFE" wp14:editId="052A9507">
                        <wp:extent cx="7139305" cy="2377440"/>
                        <wp:effectExtent l="0" t="0" r="4445" b="3810"/>
                        <wp:docPr id="3" name="Image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39305" cy="23774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8344C44" w14:textId="77777777" w:rsidR="006F6E91" w:rsidRDefault="006F6E91" w:rsidP="006F6E91">
                  <w:pPr>
                    <w:pStyle w:val="Ttulo"/>
                    <w:rPr>
                      <w:rFonts w:ascii="Calibri" w:eastAsiaTheme="minorHAnsi" w:hAnsi="Calibri" w:cs="Calibri"/>
                      <w:szCs w:val="36"/>
                    </w:rPr>
                  </w:pPr>
                  <w:r>
                    <w:t xml:space="preserve">Na Mídia </w:t>
                  </w:r>
                </w:p>
                <w:p w14:paraId="395EB23B" w14:textId="6C5E9DC2" w:rsidR="006F6E91" w:rsidRDefault="008F0DAB" w:rsidP="006F6E91">
                  <w:pPr>
                    <w:pStyle w:val="Cabealho"/>
                  </w:pPr>
                  <w:r>
                    <w:t>0</w:t>
                  </w:r>
                  <w:r w:rsidR="00AE3EEF">
                    <w:t>3</w:t>
                  </w:r>
                  <w:r w:rsidR="006F6E91">
                    <w:t>/</w:t>
                  </w:r>
                  <w:r w:rsidR="00324422">
                    <w:t>1</w:t>
                  </w:r>
                  <w:r>
                    <w:t>2</w:t>
                  </w:r>
                  <w:r w:rsidR="006F6E91">
                    <w:t xml:space="preserve">/2021| </w:t>
                  </w:r>
                  <w:hyperlink r:id="rId8" w:history="1">
                    <w:r w:rsidR="005242E9" w:rsidRPr="00AE3EEF">
                      <w:rPr>
                        <w:rStyle w:val="Hyperlink"/>
                      </w:rPr>
                      <w:t>O Estado de S. Paulo</w:t>
                    </w:r>
                  </w:hyperlink>
                </w:p>
                <w:p w14:paraId="00E85FFF" w14:textId="77777777" w:rsidR="006F6E91" w:rsidRDefault="006F6E91" w:rsidP="006F6E91">
                  <w:pPr>
                    <w:pStyle w:val="Cabealho"/>
                  </w:pPr>
                </w:p>
                <w:p w14:paraId="3836CAE3" w14:textId="4332C0E2" w:rsidR="00AE3EEF" w:rsidRDefault="00AE3EEF" w:rsidP="00AE3EEF">
                  <w:pPr>
                    <w:pStyle w:val="Ttulo1"/>
                    <w:outlineLvl w:val="0"/>
                    <w:rPr>
                      <w:rFonts w:eastAsia="Times New Roman"/>
                      <w:bCs/>
                    </w:rPr>
                  </w:pPr>
                  <w:bookmarkStart w:id="0" w:name="_GoBack"/>
                  <w:proofErr w:type="spellStart"/>
                  <w:r w:rsidRPr="00AE3EEF">
                    <w:rPr>
                      <w:rFonts w:eastAsia="Times New Roman"/>
                      <w:bCs/>
                    </w:rPr>
                    <w:t>Spac</w:t>
                  </w:r>
                  <w:proofErr w:type="spellEnd"/>
                  <w:r w:rsidRPr="00AE3EEF">
                    <w:rPr>
                      <w:rFonts w:eastAsia="Times New Roman"/>
                      <w:bCs/>
                    </w:rPr>
                    <w:t>: Empresas ‘cheque em branco’ captam US$ 2 bi nos EUA para compras no Brasil</w:t>
                  </w:r>
                </w:p>
                <w:bookmarkEnd w:id="0"/>
                <w:p w14:paraId="342AFDF7" w14:textId="77777777" w:rsidR="00AE3EEF" w:rsidRPr="00AE3EEF" w:rsidRDefault="00AE3EEF" w:rsidP="00AE3EEF">
                  <w:pPr>
                    <w:rPr>
                      <w:color w:val="CD8C5E"/>
                      <w:sz w:val="28"/>
                      <w:szCs w:val="28"/>
                    </w:rPr>
                  </w:pPr>
                  <w:r w:rsidRPr="00AE3EEF">
                    <w:rPr>
                      <w:color w:val="CD8C5E"/>
                      <w:sz w:val="28"/>
                      <w:szCs w:val="28"/>
                    </w:rPr>
                    <w:t xml:space="preserve">Nas chamadas </w:t>
                  </w:r>
                  <w:proofErr w:type="spellStart"/>
                  <w:r w:rsidRPr="00AE3EEF">
                    <w:rPr>
                      <w:color w:val="CD8C5E"/>
                      <w:sz w:val="28"/>
                      <w:szCs w:val="28"/>
                    </w:rPr>
                    <w:t>Spacs</w:t>
                  </w:r>
                  <w:proofErr w:type="spellEnd"/>
                  <w:r w:rsidRPr="00AE3EEF">
                    <w:rPr>
                      <w:color w:val="CD8C5E"/>
                      <w:sz w:val="28"/>
                      <w:szCs w:val="28"/>
                    </w:rPr>
                    <w:t>, o investidor não conhece a companhia na qual vai investir, mas sim os gestores do dinheiro, que captam os recursos para comprar uma empresa em determinada área</w:t>
                  </w:r>
                </w:p>
                <w:p w14:paraId="5C74310D" w14:textId="6B6D1E99" w:rsidR="0052078B" w:rsidRDefault="00AE3EEF" w:rsidP="002A0043">
                  <w:pPr>
                    <w:rPr>
                      <w:rStyle w:val="RefernciaSutil"/>
                      <w:b/>
                      <w:bCs/>
                      <w:sz w:val="24"/>
                    </w:rPr>
                  </w:pPr>
                  <w:r w:rsidRPr="00AE3EEF">
                    <w:rPr>
                      <w:sz w:val="20"/>
                      <w:szCs w:val="20"/>
                    </w:rPr>
                    <w:t>Altamiro Silva Junior</w:t>
                  </w:r>
                  <w:r>
                    <w:rPr>
                      <w:sz w:val="20"/>
                      <w:szCs w:val="20"/>
                    </w:rPr>
                    <w:t xml:space="preserve"> | </w:t>
                  </w:r>
                  <w:r w:rsidRPr="00AE3EEF">
                    <w:rPr>
                      <w:sz w:val="20"/>
                      <w:szCs w:val="20"/>
                    </w:rPr>
                    <w:t xml:space="preserve">Cynthia </w:t>
                  </w:r>
                  <w:proofErr w:type="spellStart"/>
                  <w:r w:rsidRPr="00AE3EEF">
                    <w:rPr>
                      <w:sz w:val="20"/>
                      <w:szCs w:val="20"/>
                    </w:rPr>
                    <w:t>Decloedt</w:t>
                  </w:r>
                  <w:proofErr w:type="spellEnd"/>
                </w:p>
                <w:p w14:paraId="5B27CCD9" w14:textId="77777777" w:rsidR="00AE3EEF" w:rsidRPr="00AE3EEF" w:rsidRDefault="00AE3EEF" w:rsidP="00AE3EEF">
                  <w:pPr>
                    <w:rPr>
                      <w:rStyle w:val="RefernciaSutil"/>
                      <w:sz w:val="24"/>
                    </w:rPr>
                  </w:pPr>
                  <w:r w:rsidRPr="00AE3EEF">
                    <w:rPr>
                      <w:rStyle w:val="RefernciaSutil"/>
                      <w:sz w:val="24"/>
                    </w:rPr>
                    <w:t xml:space="preserve">As "empresas cheque em branco", tecnicamente chamadas de </w:t>
                  </w:r>
                  <w:proofErr w:type="spellStart"/>
                  <w:r w:rsidRPr="00AE3EEF">
                    <w:rPr>
                      <w:rStyle w:val="RefernciaSutil"/>
                      <w:sz w:val="24"/>
                    </w:rPr>
                    <w:t>Spac</w:t>
                  </w:r>
                  <w:proofErr w:type="spellEnd"/>
                  <w:r w:rsidRPr="00AE3EEF">
                    <w:rPr>
                      <w:rStyle w:val="RefernciaSutil"/>
                      <w:sz w:val="24"/>
                    </w:rPr>
                    <w:t xml:space="preserve"> (Companhia de Aquisição com Propósito Específico, na sigla em inglês), nunca captaram tanto quanto nos últimos meses e estão com bilhões de dólares para fazer aquisições na América Latina, especialmente no Brasil. </w:t>
                  </w:r>
                </w:p>
                <w:p w14:paraId="28FDE2E6" w14:textId="59AA5D5A" w:rsidR="0052078B" w:rsidRPr="00AE3EEF" w:rsidRDefault="00AE3EEF" w:rsidP="00AE3EEF">
                  <w:pPr>
                    <w:rPr>
                      <w:rStyle w:val="RefernciaSutil"/>
                      <w:sz w:val="24"/>
                    </w:rPr>
                  </w:pPr>
                  <w:r w:rsidRPr="00AE3EEF">
                    <w:rPr>
                      <w:rStyle w:val="RefernciaSutil"/>
                      <w:sz w:val="24"/>
                    </w:rPr>
                    <w:t xml:space="preserve">Só neste ano, já são US$ 2 bilhões em ofertas realizadas na Nasdaq de gestoras como XP, </w:t>
                  </w:r>
                  <w:proofErr w:type="spellStart"/>
                  <w:r w:rsidRPr="00AE3EEF">
                    <w:rPr>
                      <w:rStyle w:val="RefernciaSutil"/>
                      <w:sz w:val="24"/>
                    </w:rPr>
                    <w:t>Dynamo</w:t>
                  </w:r>
                  <w:proofErr w:type="spellEnd"/>
                  <w:r w:rsidRPr="00AE3EEF">
                    <w:rPr>
                      <w:rStyle w:val="RefernciaSutil"/>
                      <w:sz w:val="24"/>
                    </w:rPr>
                    <w:t>, Valor Capital, Pátria e Crescera. Essas empresas são chamadas de “cheque em branco” porque o investidor não conhece a companhia final na qual vai investir, mas sim os gestores do dinheiro, que captam os recursos para comprar uma empresa em determinada área.</w:t>
                  </w:r>
                </w:p>
                <w:p w14:paraId="77CC223B" w14:textId="78705CC9" w:rsidR="00AE3EEF" w:rsidRDefault="00AE3EEF" w:rsidP="00AE3EEF">
                  <w:pPr>
                    <w:jc w:val="center"/>
                    <w:rPr>
                      <w:rStyle w:val="RefernciaSutil"/>
                      <w:b/>
                      <w:bCs/>
                      <w:sz w:val="24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39474586" wp14:editId="42595721">
                        <wp:extent cx="5420995" cy="3911249"/>
                        <wp:effectExtent l="0" t="0" r="8255" b="0"/>
                        <wp:docPr id="5" name="Image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30415" cy="3918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611E299" w14:textId="77777777" w:rsidR="00AE3EEF" w:rsidRPr="00AE3EEF" w:rsidRDefault="00AE3EEF" w:rsidP="00AE3EEF">
                  <w:r w:rsidRPr="00AE3EEF">
                    <w:t xml:space="preserve">Nos bancos de investimento, a avaliação é de que o mercado brasileiro deve receber mais </w:t>
                  </w:r>
                  <w:proofErr w:type="spellStart"/>
                  <w:r w:rsidRPr="00AE3EEF">
                    <w:t>Spacs</w:t>
                  </w:r>
                  <w:proofErr w:type="spellEnd"/>
                  <w:r w:rsidRPr="00AE3EEF">
                    <w:t xml:space="preserve"> em 2022, inclusive com ofertas na </w:t>
                  </w:r>
                  <w:hyperlink r:id="rId10" w:tgtFrame="_blank" w:history="1">
                    <w:r w:rsidRPr="00AE3EEF">
                      <w:rPr>
                        <w:rStyle w:val="Hyperlink"/>
                        <w:color w:val="00223C"/>
                      </w:rPr>
                      <w:t>B3</w:t>
                    </w:r>
                  </w:hyperlink>
                  <w:r w:rsidRPr="00AE3EEF">
                    <w:t xml:space="preserve">. A empresa de serviços financeiros Alvarez &amp; </w:t>
                  </w:r>
                  <w:proofErr w:type="spellStart"/>
                  <w:r w:rsidRPr="00AE3EEF">
                    <w:t>Marsal</w:t>
                  </w:r>
                  <w:proofErr w:type="spellEnd"/>
                  <w:r w:rsidRPr="00AE3EEF">
                    <w:t xml:space="preserve"> (A&amp;M), com sede em </w:t>
                  </w:r>
                  <w:hyperlink r:id="rId11" w:tgtFrame="_blank" w:history="1">
                    <w:r w:rsidRPr="00AE3EEF">
                      <w:rPr>
                        <w:rStyle w:val="Hyperlink"/>
                        <w:color w:val="00223C"/>
                      </w:rPr>
                      <w:t>Nova York</w:t>
                    </w:r>
                  </w:hyperlink>
                  <w:r w:rsidRPr="00AE3EEF">
                    <w:t>, foi a primeira a conseguir autorização da </w:t>
                  </w:r>
                  <w:hyperlink r:id="rId12" w:tgtFrame="_blank" w:history="1">
                    <w:r w:rsidRPr="00AE3EEF">
                      <w:rPr>
                        <w:rStyle w:val="Hyperlink"/>
                        <w:color w:val="00223C"/>
                      </w:rPr>
                      <w:t>Comissão de Valores Mobiliários (CVM)</w:t>
                    </w:r>
                  </w:hyperlink>
                  <w:r w:rsidRPr="00AE3EEF">
                    <w:t> para fazer a captação via Bolsa brasileira.</w:t>
                  </w:r>
                </w:p>
                <w:p w14:paraId="472EBDC1" w14:textId="77777777" w:rsidR="00AE3EEF" w:rsidRPr="00AE3EEF" w:rsidRDefault="00AE3EEF" w:rsidP="00AE3EEF">
                  <w:r w:rsidRPr="00AE3EEF">
                    <w:t>Como mostrou a Coluna do Broadcast, </w:t>
                  </w:r>
                  <w:hyperlink r:id="rId13" w:tgtFrame="_blank" w:history="1">
                    <w:r w:rsidRPr="00AE3EEF">
                      <w:rPr>
                        <w:rStyle w:val="Hyperlink"/>
                        <w:color w:val="00223C"/>
                      </w:rPr>
                      <w:t>a data do lançamento da oferta ainda não foi definida, tampouco o montante a ser levantado</w:t>
                    </w:r>
                  </w:hyperlink>
                  <w:r w:rsidRPr="00AE3EEF">
                    <w:t xml:space="preserve">. No mercado, comenta-se que a A&amp;M buscaria algo como R$ 1 bilhão. Com os recursos, a A&amp;M terá que encontrar empresas para investir em um prazo de dois anos. A expectativa é de que a </w:t>
                  </w:r>
                  <w:proofErr w:type="spellStart"/>
                  <w:r w:rsidRPr="00AE3EEF">
                    <w:t>Spac</w:t>
                  </w:r>
                  <w:proofErr w:type="spellEnd"/>
                  <w:r w:rsidRPr="00AE3EEF">
                    <w:t xml:space="preserve"> da Alvarez &amp; </w:t>
                  </w:r>
                  <w:proofErr w:type="spellStart"/>
                  <w:r w:rsidRPr="00AE3EEF">
                    <w:t>Marsal</w:t>
                  </w:r>
                  <w:proofErr w:type="spellEnd"/>
                  <w:r w:rsidRPr="00AE3EEF">
                    <w:t xml:space="preserve"> abra caminho para o lançamento de outras na B3. </w:t>
                  </w:r>
                </w:p>
                <w:p w14:paraId="67327B77" w14:textId="77777777" w:rsidR="00AE3EEF" w:rsidRPr="00AE3EEF" w:rsidRDefault="00AE3EEF" w:rsidP="00AE3EEF">
                  <w:r w:rsidRPr="00AE3EEF">
                    <w:t xml:space="preserve">Busca por rendimentos está por trás do crescimento das </w:t>
                  </w:r>
                  <w:proofErr w:type="spellStart"/>
                  <w:r w:rsidRPr="00AE3EEF">
                    <w:t>Spacs</w:t>
                  </w:r>
                  <w:proofErr w:type="spellEnd"/>
                </w:p>
                <w:p w14:paraId="16B762B8" w14:textId="77777777" w:rsidR="00AE3EEF" w:rsidRPr="00AE3EEF" w:rsidRDefault="00AE3EEF" w:rsidP="00AE3EEF">
                  <w:r w:rsidRPr="00AE3EEF">
                    <w:t xml:space="preserve">O primeiro fator que contribuiu para o boom desse tipo de captação, segundo banqueiros de investimento, foi a procura por rendimento. Quando o investidor compra papéis de uma </w:t>
                  </w:r>
                  <w:proofErr w:type="spellStart"/>
                  <w:r w:rsidRPr="00AE3EEF">
                    <w:t>Spac</w:t>
                  </w:r>
                  <w:proofErr w:type="spellEnd"/>
                  <w:r w:rsidRPr="00AE3EEF">
                    <w:t xml:space="preserve"> na oferta pública, mesmo que a empresa não encontre ativos para adquirir no curto prazo, seu dinheiro é remunerado e, em condições de juro baixo, dá melhor retorno do que se ficasse em um fundo de investimento normal.</w:t>
                  </w:r>
                </w:p>
                <w:p w14:paraId="1452E232" w14:textId="77777777" w:rsidR="00AE3EEF" w:rsidRPr="00AE3EEF" w:rsidRDefault="00AE3EEF" w:rsidP="00AE3EEF">
                  <w:r w:rsidRPr="00AE3EEF">
                    <w:t>Por isso, com os </w:t>
                  </w:r>
                  <w:hyperlink r:id="rId14" w:tgtFrame="_blank" w:history="1">
                    <w:r w:rsidRPr="00AE3EEF">
                      <w:rPr>
                        <w:rStyle w:val="Hyperlink"/>
                        <w:color w:val="00223C"/>
                      </w:rPr>
                      <w:t>juros</w:t>
                    </w:r>
                  </w:hyperlink>
                  <w:r w:rsidRPr="00AE3EEF">
                    <w:t> perto de zero nos países desenvolvidos e com o excesso de liquidez no </w:t>
                  </w:r>
                  <w:hyperlink r:id="rId15" w:tgtFrame="_blank" w:history="1">
                    <w:r w:rsidRPr="00AE3EEF">
                      <w:rPr>
                        <w:rStyle w:val="Hyperlink"/>
                        <w:color w:val="00223C"/>
                      </w:rPr>
                      <w:t>mercado financeiro</w:t>
                    </w:r>
                  </w:hyperlink>
                  <w:r w:rsidRPr="00AE3EEF">
                    <w:t xml:space="preserve"> mundial, as "empresas cheque branco" conseguiram atrair forte demanda de investidores em busca de diversificação. As gestoras, com algumas exceções, têm tido facilidade para captar recursos com </w:t>
                  </w:r>
                  <w:proofErr w:type="spellStart"/>
                  <w:r w:rsidRPr="00AE3EEF">
                    <w:t>Spacs</w:t>
                  </w:r>
                  <w:proofErr w:type="spellEnd"/>
                  <w:r w:rsidRPr="00AE3EEF">
                    <w:t xml:space="preserve"> em Nova York. </w:t>
                  </w:r>
                </w:p>
                <w:p w14:paraId="4ABC583A" w14:textId="77777777" w:rsidR="00AE3EEF" w:rsidRPr="00AE3EEF" w:rsidRDefault="00AE3EEF" w:rsidP="00AE3EEF">
                  <w:r w:rsidRPr="00AE3EEF">
                    <w:t>Como esse tipo de operação é nova no País, é preciso mais tempo de maturação do mercado, diz um executivo da </w:t>
                  </w:r>
                  <w:hyperlink r:id="rId16" w:tgtFrame="_blank" w:history="1">
                    <w:r w:rsidRPr="00AE3EEF">
                      <w:rPr>
                        <w:rStyle w:val="Hyperlink"/>
                        <w:color w:val="00223C"/>
                      </w:rPr>
                      <w:t>Faria Lima</w:t>
                    </w:r>
                  </w:hyperlink>
                  <w:r w:rsidRPr="00AE3EEF">
                    <w:t xml:space="preserve">. Enquanto menos de dez </w:t>
                  </w:r>
                  <w:proofErr w:type="spellStart"/>
                  <w:r w:rsidRPr="00AE3EEF">
                    <w:t>Spacs</w:t>
                  </w:r>
                  <w:proofErr w:type="spellEnd"/>
                  <w:r w:rsidRPr="00AE3EEF">
                    <w:t xml:space="preserve"> foram lançadas aqui este ano, nos </w:t>
                  </w:r>
                  <w:hyperlink r:id="rId17" w:tgtFrame="_blank" w:history="1">
                    <w:r w:rsidRPr="00AE3EEF">
                      <w:rPr>
                        <w:rStyle w:val="Hyperlink"/>
                        <w:color w:val="00223C"/>
                      </w:rPr>
                      <w:t>Estados Unidos</w:t>
                    </w:r>
                  </w:hyperlink>
                  <w:r w:rsidRPr="00AE3EEF">
                    <w:t>, já são em torno de 400. Para essa fonte, com o mercado mais difícil para ofertas iniciais de ações (</w:t>
                  </w:r>
                  <w:proofErr w:type="spellStart"/>
                  <w:r w:rsidRPr="00AE3EEF">
                    <w:t>IPOs</w:t>
                  </w:r>
                  <w:proofErr w:type="spellEnd"/>
                  <w:r w:rsidRPr="00AE3EEF">
                    <w:t xml:space="preserve">, na sigla em inglês), a </w:t>
                  </w:r>
                  <w:proofErr w:type="spellStart"/>
                  <w:r w:rsidRPr="00AE3EEF">
                    <w:t>Spac</w:t>
                  </w:r>
                  <w:proofErr w:type="spellEnd"/>
                  <w:r w:rsidRPr="00AE3EEF">
                    <w:t xml:space="preserve"> pode ser uma opção de captação de recursos para companhias com planos de abrir o capital em 2022.</w:t>
                  </w:r>
                </w:p>
                <w:p w14:paraId="36918E86" w14:textId="77777777" w:rsidR="00AE3EEF" w:rsidRPr="00AE3EEF" w:rsidRDefault="00AE3EEF" w:rsidP="00AE3EEF">
                  <w:pPr>
                    <w:rPr>
                      <w:b/>
                      <w:bCs/>
                    </w:rPr>
                  </w:pPr>
                  <w:r w:rsidRPr="00AE3EEF">
                    <w:rPr>
                      <w:b/>
                      <w:bCs/>
                    </w:rPr>
                    <w:t xml:space="preserve">A sócia do escritório de advocacia Demarest, Ana Carolina Audi, afirma que, em momentos de turbulência, como o atual na Bolsa brasileira, a </w:t>
                  </w:r>
                  <w:proofErr w:type="spellStart"/>
                  <w:r w:rsidRPr="00AE3EEF">
                    <w:rPr>
                      <w:b/>
                      <w:bCs/>
                    </w:rPr>
                    <w:t>Spac</w:t>
                  </w:r>
                  <w:proofErr w:type="spellEnd"/>
                  <w:r w:rsidRPr="00AE3EEF">
                    <w:rPr>
                      <w:b/>
                      <w:bCs/>
                    </w:rPr>
                    <w:t xml:space="preserve"> pode ser uma boa opção justamente pela proteção e remuneração ao capital do investidor, até que o ativo alvo seja encontrado pela </w:t>
                  </w:r>
                  <w:proofErr w:type="spellStart"/>
                  <w:r w:rsidRPr="00AE3EEF">
                    <w:rPr>
                      <w:b/>
                      <w:bCs/>
                    </w:rPr>
                    <w:t>Spac</w:t>
                  </w:r>
                  <w:proofErr w:type="spellEnd"/>
                  <w:r w:rsidRPr="00AE3EEF">
                    <w:rPr>
                      <w:b/>
                      <w:bCs/>
                    </w:rPr>
                    <w:t>.</w:t>
                  </w:r>
                </w:p>
                <w:p w14:paraId="09158246" w14:textId="77777777" w:rsidR="00AE3EEF" w:rsidRPr="00AE3EEF" w:rsidRDefault="00AE3EEF" w:rsidP="00AE3EEF">
                  <w:r w:rsidRPr="00AE3EEF">
                    <w:lastRenderedPageBreak/>
                    <w:t>"Em um momento difícil de mercado, opções de </w:t>
                  </w:r>
                  <w:hyperlink r:id="rId18" w:tgtFrame="_blank" w:history="1">
                    <w:r w:rsidRPr="00AE3EEF">
                      <w:rPr>
                        <w:rStyle w:val="Hyperlink"/>
                        <w:color w:val="00223C"/>
                      </w:rPr>
                      <w:t>investimento</w:t>
                    </w:r>
                  </w:hyperlink>
                  <w:r w:rsidRPr="00AE3EEF">
                    <w:t xml:space="preserve"> que garantem o principal investido com alguma correção são sempre bem vindas", diz. Ela afirma que o investidor não fica sujeito à oscilação de mercado e que as </w:t>
                  </w:r>
                  <w:proofErr w:type="spellStart"/>
                  <w:r w:rsidRPr="00AE3EEF">
                    <w:t>Spacs</w:t>
                  </w:r>
                  <w:proofErr w:type="spellEnd"/>
                  <w:r w:rsidRPr="00AE3EEF">
                    <w:t xml:space="preserve"> de empresas com experiência e bom histórico de mercado deveriam ser privilegiadas. “Não conheço um produto tão seguro, que tenha a garantia de </w:t>
                  </w:r>
                  <w:hyperlink r:id="rId19" w:tgtFrame="_blank" w:history="1">
                    <w:r w:rsidRPr="00AE3EEF">
                      <w:rPr>
                        <w:rStyle w:val="Hyperlink"/>
                        <w:color w:val="00223C"/>
                      </w:rPr>
                      <w:t>renda fixa</w:t>
                    </w:r>
                  </w:hyperlink>
                  <w:r w:rsidRPr="00AE3EEF">
                    <w:t> e que, se o investidor não gostar da combinação de negócio, pode resgatar o principal, sem risco.”</w:t>
                  </w:r>
                </w:p>
                <w:p w14:paraId="193377DF" w14:textId="77777777" w:rsidR="00AE3EEF" w:rsidRPr="00AE3EEF" w:rsidRDefault="00AE3EEF" w:rsidP="00AE3EEF">
                  <w:r w:rsidRPr="00AE3EEF">
                    <w:t xml:space="preserve">Quais são os alvos das </w:t>
                  </w:r>
                  <w:proofErr w:type="spellStart"/>
                  <w:r w:rsidRPr="00AE3EEF">
                    <w:t>Spacs</w:t>
                  </w:r>
                  <w:proofErr w:type="spellEnd"/>
                  <w:r w:rsidRPr="00AE3EEF">
                    <w:t xml:space="preserve"> no Brasil</w:t>
                  </w:r>
                </w:p>
                <w:p w14:paraId="668A6194" w14:textId="77777777" w:rsidR="00AE3EEF" w:rsidRPr="00AE3EEF" w:rsidRDefault="00AE3EEF" w:rsidP="00AE3EEF">
                  <w:r w:rsidRPr="00AE3EEF">
                    <w:t>As áreas preferidas das "companhias cheques em branco" são os setores de saúde e tecnologia, para aquisição com empresas de valor de mercado na casa de US$ 1 bilhão. No Brasil, esse universo não é tão grande. Seriam em torno de 60 ou 70 empresas privadas, nos cálculos de um banco estrangeiro, considerando as companhias que ainda não foram à Bolsa.</w:t>
                  </w:r>
                </w:p>
                <w:p w14:paraId="65CE541D" w14:textId="77777777" w:rsidR="00AE3EEF" w:rsidRPr="00AE3EEF" w:rsidRDefault="00AE3EEF" w:rsidP="00AE3EEF">
                  <w:r w:rsidRPr="00AE3EEF">
                    <w:t xml:space="preserve">"Aí fica todo mundo batendo cabeça nas mesmas", diz a fonte desse banco. Para o dono da companhia que pode ser alvo de uma </w:t>
                  </w:r>
                  <w:proofErr w:type="spellStart"/>
                  <w:r w:rsidRPr="00AE3EEF">
                    <w:t>Spac</w:t>
                  </w:r>
                  <w:proofErr w:type="spellEnd"/>
                  <w:r w:rsidRPr="00AE3EEF">
                    <w:t xml:space="preserve">, fica a dúvida se vale a pena diluir o capital e se a gestora vai de fato agregar valor ao negócio, pois, em vários casos, os sócios não têm histórias de investimentos </w:t>
                  </w:r>
                  <w:proofErr w:type="gramStart"/>
                  <w:r w:rsidRPr="00AE3EEF">
                    <w:t>bem sucedidas</w:t>
                  </w:r>
                  <w:proofErr w:type="gramEnd"/>
                  <w:r w:rsidRPr="00AE3EEF">
                    <w:t xml:space="preserve"> nesses segmentos.</w:t>
                  </w:r>
                </w:p>
                <w:p w14:paraId="377DC536" w14:textId="77777777" w:rsidR="00AE3EEF" w:rsidRPr="00AE3EEF" w:rsidRDefault="00AE3EEF" w:rsidP="00AE3EEF">
                  <w:pPr>
                    <w:rPr>
                      <w:b/>
                      <w:bCs/>
                    </w:rPr>
                  </w:pPr>
                  <w:r w:rsidRPr="00AE3EEF">
                    <w:rPr>
                      <w:b/>
                      <w:bCs/>
                    </w:rPr>
                    <w:t xml:space="preserve">Ana Carolina Audi, do Demarest, afirma que, ao contrário, essa é uma oportunidade para que empresas cheguem à Bolsa sem ter de passar pelo processo de abertura de capital e ao crivo de investidores que, muitas vezes, priorizam o retorno de curto prazo. "Por exemplo, as companhias de tecnologia têm recebido alto investimento de fundos de </w:t>
                  </w:r>
                  <w:proofErr w:type="spellStart"/>
                  <w:r w:rsidRPr="00AE3EEF">
                    <w:rPr>
                      <w:b/>
                      <w:bCs/>
                    </w:rPr>
                    <w:t>private</w:t>
                  </w:r>
                  <w:proofErr w:type="spellEnd"/>
                  <w:r w:rsidRPr="00AE3EEF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AE3EEF">
                    <w:rPr>
                      <w:b/>
                      <w:bCs/>
                    </w:rPr>
                    <w:t>equity</w:t>
                  </w:r>
                  <w:proofErr w:type="spellEnd"/>
                  <w:r w:rsidRPr="00AE3EEF">
                    <w:rPr>
                      <w:b/>
                      <w:bCs/>
                    </w:rPr>
                    <w:t xml:space="preserve">, são alvo de combinações de negócios </w:t>
                  </w:r>
                  <w:proofErr w:type="gramStart"/>
                  <w:r w:rsidRPr="00AE3EEF">
                    <w:rPr>
                      <w:b/>
                      <w:bCs/>
                    </w:rPr>
                    <w:t>bem sucedidos</w:t>
                  </w:r>
                  <w:proofErr w:type="gramEnd"/>
                  <w:r w:rsidRPr="00AE3EEF">
                    <w:rPr>
                      <w:b/>
                      <w:bCs/>
                    </w:rPr>
                    <w:t xml:space="preserve"> e apresentam potencial rentabilidade que talvez não seja suficiente para entrar na Bolsa”, diz.</w:t>
                  </w:r>
                </w:p>
                <w:p w14:paraId="6F0378F0" w14:textId="77777777" w:rsidR="00AE3EEF" w:rsidRPr="00AE3EEF" w:rsidRDefault="00AE3EEF" w:rsidP="00AE3EEF">
                  <w:r w:rsidRPr="00AE3EEF">
                    <w:t>Obstáculo</w:t>
                  </w:r>
                </w:p>
                <w:p w14:paraId="73438499" w14:textId="77777777" w:rsidR="00AE3EEF" w:rsidRPr="00AE3EEF" w:rsidRDefault="00AE3EEF" w:rsidP="00AE3EEF">
                  <w:r w:rsidRPr="00AE3EEF">
                    <w:t xml:space="preserve">Após o boom recente de ofertas de ações, o presidente de um banco de investimento afirma que o ritmo de captações de </w:t>
                  </w:r>
                  <w:proofErr w:type="spellStart"/>
                  <w:r w:rsidRPr="00AE3EEF">
                    <w:t>Spacs</w:t>
                  </w:r>
                  <w:proofErr w:type="spellEnd"/>
                  <w:r w:rsidRPr="00AE3EEF">
                    <w:t xml:space="preserve"> voltados ao Brasil e à América Latina pode perder fôlego, principalmente por causa da elevação dos juros ao redor do mundo. Nesse ambiente, o investidor tem mais opções de diversificação.</w:t>
                  </w:r>
                </w:p>
                <w:p w14:paraId="0042D3B4" w14:textId="77777777" w:rsidR="00AE3EEF" w:rsidRPr="00AE3EEF" w:rsidRDefault="00AE3EEF" w:rsidP="00AE3EEF">
                  <w:r w:rsidRPr="00AE3EEF">
                    <w:t xml:space="preserve">Outra razão é a falta de boas empresas para aquisição. Normalmente, o prazo entre a captação do </w:t>
                  </w:r>
                  <w:proofErr w:type="spellStart"/>
                  <w:r w:rsidRPr="00AE3EEF">
                    <w:t>Spac</w:t>
                  </w:r>
                  <w:proofErr w:type="spellEnd"/>
                  <w:r w:rsidRPr="00AE3EEF">
                    <w:t xml:space="preserve"> e o limite para a compra é de dois anos. Após esse período, é preciso rediscutir parâmetros e prazos ou encerrar a "empresa cheque em branco". Segundo fontes, há </w:t>
                  </w:r>
                  <w:proofErr w:type="spellStart"/>
                  <w:r w:rsidRPr="00AE3EEF">
                    <w:t>Spacs</w:t>
                  </w:r>
                  <w:proofErr w:type="spellEnd"/>
                  <w:r w:rsidRPr="00AE3EEF">
                    <w:t xml:space="preserve"> no Brasil discutindo extensão de prazos, já perto da data limite para fazer uma aquisição. </w:t>
                  </w:r>
                </w:p>
                <w:p w14:paraId="09A47605" w14:textId="77777777" w:rsidR="00AE3EEF" w:rsidRPr="00AE3EEF" w:rsidRDefault="00AE3EEF" w:rsidP="00AE3EEF">
                  <w:pPr>
                    <w:rPr>
                      <w:rStyle w:val="RefernciaSutil"/>
                      <w:sz w:val="24"/>
                    </w:rPr>
                  </w:pPr>
                </w:p>
                <w:p w14:paraId="04AE3903" w14:textId="77777777" w:rsidR="00C233C4" w:rsidRDefault="00C233C4" w:rsidP="006F6E91">
                  <w:pPr>
                    <w:jc w:val="center"/>
                    <w:rPr>
                      <w:rStyle w:val="RefernciaSutil"/>
                      <w:szCs w:val="20"/>
                    </w:rPr>
                  </w:pPr>
                </w:p>
                <w:p w14:paraId="422B085F" w14:textId="77777777" w:rsidR="00C233C4" w:rsidRDefault="00C233C4" w:rsidP="002A0043">
                  <w:pPr>
                    <w:jc w:val="left"/>
                  </w:pPr>
                </w:p>
                <w:p w14:paraId="1E632400" w14:textId="63279341" w:rsidR="00580D35" w:rsidRDefault="00580D35" w:rsidP="00C233C4"/>
              </w:tc>
            </w:tr>
          </w:tbl>
          <w:p w14:paraId="3F093355" w14:textId="77777777" w:rsidR="00A97435" w:rsidRPr="00344DFC" w:rsidRDefault="00A97435" w:rsidP="00A97435"/>
        </w:tc>
      </w:tr>
    </w:tbl>
    <w:p w14:paraId="1416BED9" w14:textId="77777777" w:rsidR="005F498C" w:rsidRPr="000846D9" w:rsidRDefault="005F498C" w:rsidP="00344DFC"/>
    <w:sectPr w:rsidR="005F498C" w:rsidRPr="000846D9" w:rsidSect="002A6206">
      <w:footerReference w:type="default" r:id="rId20"/>
      <w:footerReference w:type="first" r:id="rId21"/>
      <w:pgSz w:w="11906" w:h="16838"/>
      <w:pgMar w:top="567" w:right="567" w:bottom="567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B3C2DA" w14:textId="77777777" w:rsidR="007409CD" w:rsidRDefault="007409CD" w:rsidP="00344DFC">
      <w:r>
        <w:separator/>
      </w:r>
    </w:p>
  </w:endnote>
  <w:endnote w:type="continuationSeparator" w:id="0">
    <w:p w14:paraId="236D7A07" w14:textId="77777777" w:rsidR="007409CD" w:rsidRDefault="007409CD" w:rsidP="00344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27E01" w14:textId="77777777" w:rsidR="004A60DD" w:rsidRDefault="00AE3EEF" w:rsidP="00344DFC">
    <w:pPr>
      <w:pStyle w:val="Rodap"/>
    </w:pPr>
  </w:p>
  <w:p w14:paraId="1448B2E0" w14:textId="77777777" w:rsidR="00433BB1" w:rsidRDefault="00433BB1" w:rsidP="00344DFC">
    <w:pPr>
      <w:pStyle w:val="Rodap"/>
    </w:pPr>
    <w:r>
      <w:rPr>
        <w:noProof/>
        <w:lang w:eastAsia="pt-BR"/>
      </w:rPr>
      <mc:AlternateContent>
        <mc:Choice Requires="wps">
          <w:drawing>
            <wp:inline distT="0" distB="0" distL="0" distR="0" wp14:anchorId="0A92354A" wp14:editId="2612FB7A">
              <wp:extent cx="6350000" cy="381000"/>
              <wp:effectExtent l="0" t="0" r="12700" b="12700"/>
              <wp:docPr id="4" name="wsFOOT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70DE969" w14:textId="77777777" w:rsidR="00433BB1" w:rsidRPr="002A6206" w:rsidRDefault="00254A0D" w:rsidP="00344DFC">
                          <w:pPr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2A6206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DA #10726358 v1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0A92354A" id="_x0000_t202" coordsize="21600,21600" o:spt="202" path="m,l,21600r21600,l21600,xe">
              <v:stroke joinstyle="miter"/>
              <v:path gradientshapeok="t" o:connecttype="rect"/>
            </v:shapetype>
            <v:shape id="wsFOOTER" o:spid="_x0000_s1026" type="#_x0000_t202" style="width:50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" filled="f" stroked="f" strokeweight=".5pt">
              <v:textbox style="mso-fit-shape-to-text:t" inset="0,0,0,0">
                <w:txbxContent>
                  <w:p w14:paraId="670DE969" w14:textId="77777777" w:rsidR="00433BB1" w:rsidRPr="002A6206" w:rsidRDefault="00254A0D" w:rsidP="00344DFC">
                    <w:pPr>
                      <w:rPr>
                        <w:color w:val="FFFFFF" w:themeColor="background1"/>
                        <w:sz w:val="12"/>
                        <w:szCs w:val="12"/>
                      </w:rPr>
                    </w:pPr>
                    <w:r w:rsidRPr="002A6206">
                      <w:rPr>
                        <w:color w:val="FFFFFF" w:themeColor="background1"/>
                        <w:sz w:val="12"/>
                        <w:szCs w:val="12"/>
                      </w:rPr>
                      <w:t>DA #10726358 v1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21D7E9" w14:textId="77777777" w:rsidR="001F4AA0" w:rsidRPr="002A6206" w:rsidRDefault="001F4AA0" w:rsidP="00344DFC">
    <w:pPr>
      <w:pStyle w:val="Rodap"/>
      <w:rPr>
        <w:sz w:val="12"/>
        <w:szCs w:val="12"/>
      </w:rPr>
    </w:pPr>
    <w:r w:rsidRPr="002A6206">
      <w:rPr>
        <w:noProof/>
        <w:sz w:val="12"/>
        <w:szCs w:val="12"/>
        <w:lang w:eastAsia="pt-BR"/>
      </w:rPr>
      <mc:AlternateContent>
        <mc:Choice Requires="wps">
          <w:drawing>
            <wp:inline distT="0" distB="0" distL="0" distR="0" wp14:anchorId="41463583" wp14:editId="3D7FB34A">
              <wp:extent cx="6350000" cy="381000"/>
              <wp:effectExtent l="0" t="0" r="12700" b="12700"/>
              <wp:docPr id="1" name="wsFIRSTFOOT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92DA103" w14:textId="77777777" w:rsidR="001F4AA0" w:rsidRPr="002A6206" w:rsidRDefault="00254A0D" w:rsidP="00344DFC">
                          <w:pPr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2A6206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DA #10726358 v1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1463583" id="_x0000_t202" coordsize="21600,21600" o:spt="202" path="m,l,21600r21600,l21600,xe">
              <v:stroke joinstyle="miter"/>
              <v:path gradientshapeok="t" o:connecttype="rect"/>
            </v:shapetype>
            <v:shape id="wsFIRSTFOOTER" o:spid="_x0000_s1027" type="#_x0000_t202" style="width:50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" filled="f" stroked="f" strokeweight=".5pt">
              <v:textbox style="mso-fit-shape-to-text:t" inset="0,0,0,0">
                <w:txbxContent>
                  <w:p w14:paraId="392DA103" w14:textId="77777777" w:rsidR="001F4AA0" w:rsidRPr="002A6206" w:rsidRDefault="00254A0D" w:rsidP="00344DFC">
                    <w:pPr>
                      <w:rPr>
                        <w:color w:val="FFFFFF" w:themeColor="background1"/>
                        <w:sz w:val="12"/>
                        <w:szCs w:val="12"/>
                      </w:rPr>
                    </w:pPr>
                    <w:r w:rsidRPr="002A6206">
                      <w:rPr>
                        <w:color w:val="FFFFFF" w:themeColor="background1"/>
                        <w:sz w:val="12"/>
                        <w:szCs w:val="12"/>
                      </w:rPr>
                      <w:t>DA #10726358 v1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549D6A" w14:textId="77777777" w:rsidR="007409CD" w:rsidRDefault="007409CD" w:rsidP="00344DFC">
      <w:r>
        <w:separator/>
      </w:r>
    </w:p>
  </w:footnote>
  <w:footnote w:type="continuationSeparator" w:id="0">
    <w:p w14:paraId="6ABFBC0D" w14:textId="77777777" w:rsidR="007409CD" w:rsidRDefault="007409CD" w:rsidP="00344D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9CD"/>
    <w:rsid w:val="00060982"/>
    <w:rsid w:val="000846D9"/>
    <w:rsid w:val="000A6C9A"/>
    <w:rsid w:val="000C595B"/>
    <w:rsid w:val="000E04A7"/>
    <w:rsid w:val="0012470D"/>
    <w:rsid w:val="00133D94"/>
    <w:rsid w:val="00160156"/>
    <w:rsid w:val="001D02A3"/>
    <w:rsid w:val="001F4AA0"/>
    <w:rsid w:val="00235DB8"/>
    <w:rsid w:val="00254A0D"/>
    <w:rsid w:val="002A0043"/>
    <w:rsid w:val="002A6206"/>
    <w:rsid w:val="00306FC9"/>
    <w:rsid w:val="00324422"/>
    <w:rsid w:val="0033251B"/>
    <w:rsid w:val="00344DFC"/>
    <w:rsid w:val="00377A53"/>
    <w:rsid w:val="003F0F78"/>
    <w:rsid w:val="00422041"/>
    <w:rsid w:val="00433BB1"/>
    <w:rsid w:val="00444CE3"/>
    <w:rsid w:val="004B4648"/>
    <w:rsid w:val="0052078B"/>
    <w:rsid w:val="005242E9"/>
    <w:rsid w:val="005745DB"/>
    <w:rsid w:val="00580D35"/>
    <w:rsid w:val="00591280"/>
    <w:rsid w:val="005B5EBB"/>
    <w:rsid w:val="005F498C"/>
    <w:rsid w:val="00636CA5"/>
    <w:rsid w:val="0065746C"/>
    <w:rsid w:val="00696802"/>
    <w:rsid w:val="006F6E91"/>
    <w:rsid w:val="007409CD"/>
    <w:rsid w:val="007A04AF"/>
    <w:rsid w:val="007C6FE4"/>
    <w:rsid w:val="00815F47"/>
    <w:rsid w:val="00816D0B"/>
    <w:rsid w:val="0084467D"/>
    <w:rsid w:val="00871F7A"/>
    <w:rsid w:val="00876F4E"/>
    <w:rsid w:val="008A76A4"/>
    <w:rsid w:val="008E7601"/>
    <w:rsid w:val="008E7A10"/>
    <w:rsid w:val="008F0DAB"/>
    <w:rsid w:val="009516C3"/>
    <w:rsid w:val="009A2493"/>
    <w:rsid w:val="009A4EBC"/>
    <w:rsid w:val="00A05C8F"/>
    <w:rsid w:val="00A2288A"/>
    <w:rsid w:val="00A83511"/>
    <w:rsid w:val="00A97435"/>
    <w:rsid w:val="00AA26C6"/>
    <w:rsid w:val="00AC0F1F"/>
    <w:rsid w:val="00AE3EEF"/>
    <w:rsid w:val="00B15077"/>
    <w:rsid w:val="00B36011"/>
    <w:rsid w:val="00BC1D94"/>
    <w:rsid w:val="00C10C53"/>
    <w:rsid w:val="00C233C4"/>
    <w:rsid w:val="00C372A6"/>
    <w:rsid w:val="00C66FA3"/>
    <w:rsid w:val="00D61EED"/>
    <w:rsid w:val="00D63714"/>
    <w:rsid w:val="00DA2A3B"/>
    <w:rsid w:val="00E379BE"/>
    <w:rsid w:val="00E75A65"/>
    <w:rsid w:val="00EC6693"/>
    <w:rsid w:val="00F25456"/>
    <w:rsid w:val="00F33E62"/>
    <w:rsid w:val="00F9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60182BCF"/>
  <w15:chartTrackingRefBased/>
  <w15:docId w15:val="{9D51A471-5317-4664-A5AA-6924290DE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rebuchet MS" w:eastAsiaTheme="minorHAnsi" w:hAnsi="Trebuchet MS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44DFC"/>
    <w:pPr>
      <w:spacing w:after="120" w:line="288" w:lineRule="auto"/>
      <w:jc w:val="both"/>
    </w:pPr>
    <w:rPr>
      <w:rFonts w:asciiTheme="minorHAnsi" w:eastAsiaTheme="majorEastAsia" w:hAnsiTheme="minorHAnsi" w:cstheme="minorHAnsi"/>
      <w:color w:val="00223C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344DFC"/>
    <w:pPr>
      <w:keepNext/>
      <w:keepLines/>
      <w:spacing w:before="40"/>
      <w:outlineLvl w:val="0"/>
    </w:pPr>
    <w:rPr>
      <w:b/>
      <w:sz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44CE3"/>
    <w:pPr>
      <w:keepNext/>
      <w:keepLines/>
      <w:spacing w:before="40" w:after="0"/>
      <w:outlineLvl w:val="1"/>
    </w:pPr>
    <w:rPr>
      <w:rFonts w:asciiTheme="majorHAnsi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24422"/>
    <w:pPr>
      <w:keepNext/>
      <w:keepLines/>
      <w:spacing w:before="40" w:after="0"/>
      <w:outlineLvl w:val="2"/>
    </w:pPr>
    <w:rPr>
      <w:rFonts w:asciiTheme="majorHAnsi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A05C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C8F"/>
  </w:style>
  <w:style w:type="paragraph" w:styleId="Cabealho">
    <w:name w:val="header"/>
    <w:basedOn w:val="Normal"/>
    <w:link w:val="CabealhoChar"/>
    <w:uiPriority w:val="99"/>
    <w:unhideWhenUsed/>
    <w:rsid w:val="00344D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4DFC"/>
    <w:rPr>
      <w:rFonts w:asciiTheme="minorHAnsi" w:eastAsiaTheme="majorEastAsia" w:hAnsiTheme="minorHAnsi" w:cstheme="minorHAnsi"/>
      <w:color w:val="00223C"/>
      <w:sz w:val="24"/>
      <w:szCs w:val="24"/>
    </w:rPr>
  </w:style>
  <w:style w:type="table" w:styleId="Tabelacomgrade">
    <w:name w:val="Table Grid"/>
    <w:basedOn w:val="Tabelanormal"/>
    <w:uiPriority w:val="39"/>
    <w:rsid w:val="008A76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A76A4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344DFC"/>
    <w:rPr>
      <w:rFonts w:asciiTheme="minorHAnsi" w:eastAsiaTheme="majorEastAsia" w:hAnsiTheme="minorHAnsi" w:cstheme="minorHAnsi"/>
      <w:b/>
      <w:color w:val="00223C"/>
      <w:sz w:val="36"/>
      <w:szCs w:val="24"/>
    </w:rPr>
  </w:style>
  <w:style w:type="paragraph" w:styleId="Ttulo">
    <w:name w:val="Title"/>
    <w:basedOn w:val="Ttulo1"/>
    <w:next w:val="Normal"/>
    <w:link w:val="TtuloChar"/>
    <w:uiPriority w:val="10"/>
    <w:qFormat/>
    <w:rsid w:val="00344DFC"/>
    <w:rPr>
      <w:b w:val="0"/>
      <w:color w:val="CD8C5E"/>
    </w:rPr>
  </w:style>
  <w:style w:type="character" w:customStyle="1" w:styleId="TtuloChar">
    <w:name w:val="Título Char"/>
    <w:basedOn w:val="Fontepargpadro"/>
    <w:link w:val="Ttulo"/>
    <w:uiPriority w:val="10"/>
    <w:rsid w:val="00344DFC"/>
    <w:rPr>
      <w:rFonts w:asciiTheme="minorHAnsi" w:eastAsiaTheme="majorEastAsia" w:hAnsiTheme="minorHAnsi" w:cstheme="minorHAnsi"/>
      <w:color w:val="CD8C5E"/>
      <w:sz w:val="36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344DFC"/>
    <w:pPr>
      <w:outlineLvl w:val="3"/>
    </w:pPr>
    <w:rPr>
      <w:color w:val="CD8C5E"/>
      <w:sz w:val="28"/>
    </w:rPr>
  </w:style>
  <w:style w:type="character" w:customStyle="1" w:styleId="SubttuloChar">
    <w:name w:val="Subtítulo Char"/>
    <w:basedOn w:val="Fontepargpadro"/>
    <w:link w:val="Subttulo"/>
    <w:uiPriority w:val="11"/>
    <w:rsid w:val="00344DFC"/>
    <w:rPr>
      <w:rFonts w:asciiTheme="minorHAnsi" w:eastAsiaTheme="majorEastAsia" w:hAnsiTheme="minorHAnsi" w:cstheme="minorHAnsi"/>
      <w:color w:val="CD8C5E"/>
      <w:sz w:val="28"/>
      <w:szCs w:val="24"/>
    </w:rPr>
  </w:style>
  <w:style w:type="character" w:styleId="RefernciaSutil">
    <w:name w:val="Subtle Reference"/>
    <w:aliases w:val="Autor"/>
    <w:uiPriority w:val="31"/>
    <w:qFormat/>
    <w:rsid w:val="00344DFC"/>
    <w:rPr>
      <w:rFonts w:asciiTheme="minorHAnsi" w:eastAsiaTheme="majorEastAsia" w:hAnsiTheme="minorHAnsi" w:cstheme="minorHAnsi"/>
      <w:color w:val="00223C"/>
      <w:sz w:val="20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8E7601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80D35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44CE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244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42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09740">
              <w:marLeft w:val="0"/>
              <w:marRight w:val="0"/>
              <w:marTop w:val="0"/>
              <w:marBottom w:val="0"/>
              <w:divBdr>
                <w:top w:val="single" w:sz="6" w:space="13" w:color="E0E0E0"/>
                <w:left w:val="none" w:sz="0" w:space="0" w:color="auto"/>
                <w:bottom w:val="single" w:sz="6" w:space="7" w:color="E0E0E0"/>
                <w:right w:val="none" w:sz="0" w:space="0" w:color="auto"/>
              </w:divBdr>
              <w:divsChild>
                <w:div w:id="25016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6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1951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85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1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9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5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4372">
              <w:marLeft w:val="0"/>
              <w:marRight w:val="0"/>
              <w:marTop w:val="0"/>
              <w:marBottom w:val="0"/>
              <w:divBdr>
                <w:top w:val="single" w:sz="6" w:space="13" w:color="E0E0E0"/>
                <w:left w:val="none" w:sz="0" w:space="0" w:color="auto"/>
                <w:bottom w:val="single" w:sz="6" w:space="7" w:color="E0E0E0"/>
                <w:right w:val="none" w:sz="0" w:space="0" w:color="auto"/>
              </w:divBdr>
              <w:divsChild>
                <w:div w:id="76770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5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78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0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17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0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16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8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7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onomia.estadao.com.br/noticias/geral,spac-empresas-cheque-em-branco-captam-us-2-bi-nos-eua-para-compras-no-brasil,70003916127" TargetMode="External"/><Relationship Id="rId13" Type="http://schemas.openxmlformats.org/officeDocument/2006/relationships/hyperlink" Target="https://economia.estadao.com.br/blogs/coluna-do-broad/alvarez-marsal-obtem-registro-para-primeira-oferta-de-spac-no-brasil-2/" TargetMode="External"/><Relationship Id="rId18" Type="http://schemas.openxmlformats.org/officeDocument/2006/relationships/hyperlink" Target="https://tudo-sobre.estadao.com.br/investimento-financeiro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hyperlink" Target="https://tudo-sobre.estadao.com.br/cvm-comissao-de-valores-mobiliarios" TargetMode="External"/><Relationship Id="rId17" Type="http://schemas.openxmlformats.org/officeDocument/2006/relationships/hyperlink" Target="https://tudo-sobre.estadao.com.br/estados-unidos-america-do-norte" TargetMode="External"/><Relationship Id="rId2" Type="http://schemas.openxmlformats.org/officeDocument/2006/relationships/styles" Target="styles.xml"/><Relationship Id="rId16" Type="http://schemas.openxmlformats.org/officeDocument/2006/relationships/hyperlink" Target="https://tudo-sobre.estadao.com.br/avenida-brigadeiro-faria-lima-sao-paulo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tudo-sobre.estadao.com.br/nova-york-estados-unido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udo-sobre.estadao.com.br/mercado-financeiro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tudo-sobre.estadao.com.br/b3-bolsa-de-valores-de-sao-paulo-bovespa-bmf" TargetMode="External"/><Relationship Id="rId19" Type="http://schemas.openxmlformats.org/officeDocument/2006/relationships/hyperlink" Target="https://tudo-sobre.estadao.com.br/renda-fix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tudo-sobre.estadao.com.br/juros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078838-BA34-4B49-94C1-BF1DBC3BD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1045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Cyndi de Oliveira Silva | Demarest Advogados</dc:creator>
  <cp:keywords/>
  <dc:description/>
  <cp:lastModifiedBy>Cristiane Santana Sa | Demarest Advogados</cp:lastModifiedBy>
  <cp:revision>2</cp:revision>
  <cp:lastPrinted>2021-07-19T13:24:00Z</cp:lastPrinted>
  <dcterms:created xsi:type="dcterms:W3CDTF">2021-12-06T11:26:00Z</dcterms:created>
  <dcterms:modified xsi:type="dcterms:W3CDTF">2021-12-06T11:26:00Z</dcterms:modified>
</cp:coreProperties>
</file>